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B75DD8" w:rsidRPr="00CA370E" w:rsidRDefault="00B75DD8" w:rsidP="00732610">
      <w:pPr>
        <w:jc w:val="center"/>
        <w:rPr>
          <w:rFonts w:eastAsia="HGｺﾞｼｯｸE"/>
          <w:sz w:val="56"/>
          <w:szCs w:val="56"/>
          <w14:shadow w14:blurRad="50800" w14:dist="38100" w14:dir="2700000" w14:sx="100000" w14:sy="100000" w14:kx="0" w14:ky="0" w14:algn="tl">
            <w14:srgbClr w14:val="000000">
              <w14:alpha w14:val="60000"/>
            </w14:srgbClr>
          </w14:shadow>
        </w:rPr>
      </w:pPr>
      <w:r w:rsidRPr="00CA370E">
        <w:rPr>
          <w:rFonts w:eastAsia="HGｺﾞｼｯｸE" w:hint="eastAsia"/>
          <w:sz w:val="56"/>
          <w:szCs w:val="56"/>
          <w14:shadow w14:blurRad="50800" w14:dist="38100" w14:dir="2700000" w14:sx="100000" w14:sy="100000" w14:kx="0" w14:ky="0" w14:algn="tl">
            <w14:srgbClr w14:val="000000">
              <w14:alpha w14:val="60000"/>
            </w14:srgbClr>
          </w14:shadow>
        </w:rPr>
        <w:t>ＥＸＣＥＬ取り込み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２０１</w:t>
      </w:r>
      <w:r w:rsidR="00A629CB" w:rsidRPr="00CA370E">
        <w:rPr>
          <w:rFonts w:ascii="AR P丸ゴシック体M" w:eastAsia="AR P丸ゴシック体M" w:hAnsi="AR P丸ゴシック体M" w:hint="eastAsia"/>
          <w:sz w:val="24"/>
        </w:rPr>
        <w:t>６</w:t>
      </w:r>
      <w:r w:rsidRPr="00CA370E">
        <w:rPr>
          <w:rFonts w:ascii="AR P丸ゴシック体M" w:eastAsia="AR P丸ゴシック体M" w:hAnsi="AR P丸ゴシック体M" w:hint="eastAsia"/>
          <w:sz w:val="24"/>
        </w:rPr>
        <w:t>年</w:t>
      </w:r>
      <w:r w:rsidR="00324321" w:rsidRPr="00CA370E">
        <w:rPr>
          <w:rFonts w:ascii="AR P丸ゴシック体M" w:eastAsia="AR P丸ゴシック体M" w:hAnsi="AR P丸ゴシック体M" w:hint="eastAsia"/>
          <w:sz w:val="24"/>
        </w:rPr>
        <w:t>１１</w:t>
      </w:r>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4D4606">
        <w:tc>
          <w:tcPr>
            <w:tcW w:w="1242"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Pr="00CA370E" w:rsidRDefault="00327F8E" w:rsidP="00D15FF9">
      <w:pPr>
        <w:pStyle w:val="ab"/>
      </w:pPr>
      <w:r w:rsidRPr="00CA370E">
        <w:rPr>
          <w:rFonts w:hint="eastAsia"/>
        </w:rPr>
        <w:t>本資料では、</w:t>
      </w:r>
      <w:r w:rsidR="007514DD" w:rsidRPr="00CA370E">
        <w:rPr>
          <w:rFonts w:hint="eastAsia"/>
        </w:rPr>
        <w:t>EXCEL取込用標準フォーマット</w:t>
      </w:r>
      <w:r w:rsidR="007514DD" w:rsidRPr="00CA370E">
        <w:rPr>
          <w:rFonts w:hint="eastAsia"/>
          <w:vertAlign w:val="superscript"/>
        </w:rPr>
        <w:t>※</w:t>
      </w:r>
      <w:r w:rsidR="004C4048" w:rsidRPr="00CA370E">
        <w:rPr>
          <w:rFonts w:hint="eastAsia"/>
        </w:rPr>
        <w:t>に基づいて作成されたＣＳＶファイル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で直接</w:t>
      </w:r>
      <w:r w:rsidR="0002683A" w:rsidRPr="00CA370E">
        <w:rPr>
          <w:rFonts w:hint="eastAsia"/>
        </w:rPr>
        <w:t>取り込むための操作手順を記載しています。</w:t>
      </w: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266713" w:rsidRPr="00CA370E" w:rsidRDefault="007514DD" w:rsidP="00266713">
      <w:pPr>
        <w:pStyle w:val="af"/>
        <w:rPr>
          <w:rFonts w:hAnsi="ＭＳ 明朝" w:cs="Times New Roman"/>
          <w:szCs w:val="24"/>
        </w:rPr>
      </w:pPr>
      <w:r w:rsidRPr="00CA370E">
        <w:rPr>
          <w:rFonts w:hAnsi="ＭＳ 明朝" w:cs="Times New Roman" w:hint="eastAsia"/>
          <w:szCs w:val="24"/>
        </w:rPr>
        <w:t>※</w:t>
      </w:r>
      <w:r w:rsidR="004C4048" w:rsidRPr="00CA370E">
        <w:rPr>
          <w:rFonts w:hAnsi="ＭＳ 明朝" w:cs="Times New Roman" w:hint="eastAsia"/>
          <w:szCs w:val="24"/>
        </w:rPr>
        <w:t>EXCEL取込用標準フォーマット</w:t>
      </w:r>
      <w:r w:rsidRPr="00CA370E">
        <w:rPr>
          <w:rFonts w:hAnsi="ＭＳ 明朝" w:cs="Times New Roman" w:hint="eastAsia"/>
          <w:szCs w:val="24"/>
        </w:rPr>
        <w:t>は下記サイトよりダウンロードしてください。</w:t>
      </w:r>
      <w:r w:rsidRPr="00CA370E">
        <w:rPr>
          <w:rFonts w:hAnsi="ＭＳ 明朝" w:cs="Times New Roman"/>
          <w:szCs w:val="24"/>
        </w:rPr>
        <w:t>http://www.icba.or.jp/DBkyougikai/renkei.html</w:t>
      </w:r>
    </w:p>
    <w:p w:rsidR="004C4048" w:rsidRPr="00CA370E" w:rsidRDefault="004C4048"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4C4048" w:rsidP="0026671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EXCEL取込用標準フォーマット</w:t>
      </w:r>
      <w:r w:rsidR="00A0787E" w:rsidRPr="00CA370E">
        <w:rPr>
          <w:rFonts w:ascii="HG丸ｺﾞｼｯｸM-PRO" w:eastAsia="HG丸ｺﾞｼｯｸM-PRO" w:cs="ＭＳ 明朝" w:hint="eastAsia"/>
          <w:szCs w:val="21"/>
        </w:rPr>
        <w:t>は確認申請用、中間検査用、完了検査用の３パターンがあり、いずれも建築物専用です。各々の取り込み対象データは下表のとおりです。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取り込み対象データ</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7C5861">
        <w:trPr>
          <w:trHeight w:val="377"/>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7514DD" w:rsidP="007514DD">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※平成２７年６月１日施行の建築計画概要書様式改正（老人ホーム等の部分の面積項目追加）にも対応しております。従前、「通知・報告配信システム（オフライン）をご利用いただいていた場合は、</w:t>
      </w:r>
      <w:r w:rsidR="004C4048" w:rsidRPr="00CA370E">
        <w:rPr>
          <w:rFonts w:ascii="HG丸ｺﾞｼｯｸM-PRO" w:eastAsia="HG丸ｺﾞｼｯｸM-PRO" w:cs="ＭＳ 明朝" w:hint="eastAsia"/>
          <w:szCs w:val="21"/>
        </w:rPr>
        <w:t>EXCEL取込用標準フォーマット</w:t>
      </w:r>
      <w:r w:rsidRPr="00CA370E">
        <w:rPr>
          <w:rFonts w:ascii="HG丸ｺﾞｼｯｸM-PRO" w:eastAsia="HG丸ｺﾞｼｯｸM-PRO" w:cs="ＭＳ 明朝" w:hint="eastAsia"/>
          <w:szCs w:val="21"/>
        </w:rPr>
        <w:t>が更新されていますのでご注意ください。</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Pr="00CA370E"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台帳登録閲覧システムで選択形式となっている項目は、その値（データ）の形式に制限がありますので、ＣＳＶファイルはあらかじめその制限に合わせておく必要があります。</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例えば、建築士資格欄は「一級」「二級」「木造」のいずれかのみであり、「１級」などは不可です。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ＣＳＶファイルの各項目は、</w:t>
      </w:r>
      <w:r w:rsidR="004C4048" w:rsidRPr="00CA370E">
        <w:rPr>
          <w:rFonts w:ascii="HG丸ｺﾞｼｯｸM-PRO" w:eastAsia="HG丸ｺﾞｼｯｸM-PRO" w:cs="ＭＳ 明朝" w:hint="eastAsia"/>
          <w:szCs w:val="21"/>
        </w:rPr>
        <w:t>EXCEL取込用標準フォーマットに定める</w:t>
      </w:r>
      <w:r w:rsidRPr="00CA370E">
        <w:rPr>
          <w:rFonts w:ascii="HG丸ｺﾞｼｯｸM-PRO" w:eastAsia="HG丸ｺﾞｼｯｸM-PRO" w:cs="ＭＳ 明朝" w:hint="eastAsia"/>
          <w:szCs w:val="21"/>
        </w:rPr>
        <w:t>順序で過不足なく並んでいる必要があります。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lastRenderedPageBreak/>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bookmarkStart w:id="0" w:name="_GoBack"/>
      <w:bookmarkEnd w:id="0"/>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EB2F4D" w:rsidRPr="00CA370E" w:rsidRDefault="00EB2F4D" w:rsidP="00EB2F4D"/>
    <w:p w:rsidR="000E0AD6" w:rsidRPr="00CA370E" w:rsidRDefault="000E0AD6" w:rsidP="00EB2F4D">
      <w:pPr>
        <w:sectPr w:rsidR="000E0AD6" w:rsidRPr="00CA370E">
          <w:pgSz w:w="11906" w:h="16838" w:code="9"/>
          <w:pgMar w:top="1418" w:right="1418" w:bottom="851" w:left="1418" w:header="567" w:footer="397" w:gutter="0"/>
          <w:cols w:space="425"/>
          <w:docGrid w:type="lines" w:linePitch="360"/>
        </w:sectPr>
      </w:pPr>
    </w:p>
    <w:p w:rsidR="0002683A" w:rsidRPr="00CA370E" w:rsidRDefault="00A629CB" w:rsidP="004D531A">
      <w:pPr>
        <w:pStyle w:val="2"/>
        <w:tabs>
          <w:tab w:val="num" w:pos="420"/>
        </w:tabs>
        <w:ind w:left="624" w:hanging="624"/>
      </w:pPr>
      <w:r w:rsidRPr="00CA370E">
        <w:rPr>
          <w:rFonts w:hint="eastAsia"/>
        </w:rPr>
        <w:lastRenderedPageBreak/>
        <w:t>１</w:t>
      </w:r>
      <w:r w:rsidR="0002683A" w:rsidRPr="00CA370E">
        <w:rPr>
          <w:rFonts w:hint="eastAsia"/>
        </w:rPr>
        <w:t>．</w:t>
      </w:r>
      <w:r w:rsidR="00732610" w:rsidRPr="00CA370E">
        <w:rPr>
          <w:rFonts w:hint="eastAsia"/>
        </w:rPr>
        <w:t>台帳登録閲覧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846E94"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w:t>
      </w:r>
      <w:r w:rsidR="00732610" w:rsidRPr="00CA370E">
        <w:rPr>
          <w:rFonts w:ascii="HG丸ｺﾞｼｯｸM-PRO" w:eastAsia="HG丸ｺﾞｼｯｸM-PRO" w:hAnsi="HG丸ｺﾞｼｯｸM-PRO" w:hint="eastAsia"/>
        </w:rPr>
        <w:t>（1.1.3）</w:t>
      </w:r>
      <w:r w:rsidRPr="00CA370E">
        <w:rPr>
          <w:rFonts w:ascii="HG丸ｺﾞｼｯｸM-PRO" w:eastAsia="HG丸ｺﾞｼｯｸM-PRO" w:hAnsi="HG丸ｺﾞｼｯｸM-PRO" w:hint="eastAsia"/>
        </w:rPr>
        <w:t>」をご参照ください。</w:t>
      </w:r>
    </w:p>
    <w:p w:rsidR="00846E94" w:rsidRPr="00CA370E" w:rsidRDefault="00846E94" w:rsidP="00846E94">
      <w:pPr>
        <w:ind w:left="545"/>
        <w:jc w:val="left"/>
        <w:rPr>
          <w:rFonts w:ascii="HG丸ｺﾞｼｯｸM-PRO" w:eastAsia="HG丸ｺﾞｼｯｸM-PRO" w:hAnsi="HG丸ｺﾞｼｯｸM-PRO"/>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846E94" w:rsidRPr="00CA370E" w:rsidRDefault="00846E94">
      <w:pPr>
        <w:ind w:leftChars="188" w:left="395"/>
        <w:jc w:val="left"/>
        <w:rPr>
          <w:rFonts w:ascii="HG丸ｺﾞｼｯｸM-PRO" w:eastAsia="HG丸ｺﾞｼｯｸM-PRO" w:hAnsi="HG丸ｺﾞｼｯｸM-PRO"/>
        </w:rPr>
      </w:pP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0E2A32"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ind w:leftChars="188" w:left="395"/>
        <w:jc w:val="left"/>
        <w:rPr>
          <w:rFonts w:ascii="HG丸ｺﾞｼｯｸM-PRO" w:eastAsia="HG丸ｺﾞｼｯｸM-PRO" w:hAnsi="HG丸ｺﾞｼｯｸM-PRO"/>
        </w:rPr>
      </w:pP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5527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552700"/>
                    </a:xfrm>
                    <a:prstGeom prst="rect">
                      <a:avLst/>
                    </a:prstGeom>
                    <a:noFill/>
                    <a:ln>
                      <a:noFill/>
                    </a:ln>
                  </pic:spPr>
                </pic:pic>
              </a:graphicData>
            </a:graphic>
          </wp:inline>
        </w:drawing>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CD0792">
      <w:pPr>
        <w:ind w:leftChars="67" w:left="14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⑤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CD0792" w:rsidP="00CD0792">
      <w:pPr>
        <w:pStyle w:val="af1"/>
        <w:numPr>
          <w:ilvl w:val="0"/>
          <w:numId w:val="3"/>
        </w:numPr>
        <w:ind w:leftChars="0" w:hanging="218"/>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E1" w:rsidRDefault="00387BE1">
      <w:r>
        <w:separator/>
      </w:r>
    </w:p>
  </w:endnote>
  <w:endnote w:type="continuationSeparator" w:id="0">
    <w:p w:rsidR="00387BE1" w:rsidRDefault="0038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l‡r...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A370E">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r w:rsidRPr="00396DC6">
      <w:rPr>
        <w:rFonts w:ascii="Times New Roman" w:hAnsi="Times New Roman"/>
        <w:kern w:val="0"/>
        <w:sz w:val="16"/>
        <w:szCs w:val="16"/>
      </w:rPr>
      <w:t>201</w:t>
    </w:r>
    <w:r w:rsidR="001C68CC">
      <w:rPr>
        <w:rFonts w:ascii="Times New Roman" w:hAnsi="Times New Roman"/>
        <w:kern w:val="0"/>
        <w:sz w:val="16"/>
        <w:szCs w:val="16"/>
      </w:rPr>
      <w:t>6</w:t>
    </w:r>
    <w:r w:rsidRPr="00396DC6">
      <w:rPr>
        <w:rFonts w:ascii="Times New Roman" w:hAnsi="Times New Roman"/>
        <w:kern w:val="0"/>
        <w:sz w:val="16"/>
        <w:szCs w:val="16"/>
      </w:rPr>
      <w:t>.</w:t>
    </w:r>
    <w:r w:rsidR="008274B2">
      <w:rPr>
        <w:rFonts w:ascii="Times New Roman" w:hAnsi="Times New Roman"/>
        <w:kern w:val="0"/>
        <w:sz w:val="16"/>
        <w:szCs w:val="16"/>
      </w:rPr>
      <w:t>11.11</w:t>
    </w:r>
    <w:r>
      <w:rPr>
        <w:rFonts w:ascii="Times New Roman" w:hAnsi="Times New Roman"/>
        <w:kern w:val="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E1" w:rsidRDefault="00387BE1">
      <w:r>
        <w:separator/>
      </w:r>
    </w:p>
  </w:footnote>
  <w:footnote w:type="continuationSeparator" w:id="0">
    <w:p w:rsidR="00387BE1" w:rsidRDefault="0038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2683A"/>
    <w:rsid w:val="000273EB"/>
    <w:rsid w:val="00035678"/>
    <w:rsid w:val="0005697B"/>
    <w:rsid w:val="000573DC"/>
    <w:rsid w:val="000929DB"/>
    <w:rsid w:val="00096B27"/>
    <w:rsid w:val="000D431A"/>
    <w:rsid w:val="000D4483"/>
    <w:rsid w:val="000D641C"/>
    <w:rsid w:val="000E0AD6"/>
    <w:rsid w:val="000E2A32"/>
    <w:rsid w:val="000F280D"/>
    <w:rsid w:val="00102173"/>
    <w:rsid w:val="00126617"/>
    <w:rsid w:val="00143255"/>
    <w:rsid w:val="00144E62"/>
    <w:rsid w:val="00150229"/>
    <w:rsid w:val="001562FD"/>
    <w:rsid w:val="001635ED"/>
    <w:rsid w:val="00164288"/>
    <w:rsid w:val="0019668F"/>
    <w:rsid w:val="001A76A0"/>
    <w:rsid w:val="001B6EF8"/>
    <w:rsid w:val="001C0E6B"/>
    <w:rsid w:val="001C377A"/>
    <w:rsid w:val="001C4C97"/>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B40B0"/>
    <w:rsid w:val="002D2CD1"/>
    <w:rsid w:val="002E609F"/>
    <w:rsid w:val="003113FA"/>
    <w:rsid w:val="00323891"/>
    <w:rsid w:val="00324321"/>
    <w:rsid w:val="00327F8E"/>
    <w:rsid w:val="0033080C"/>
    <w:rsid w:val="00352850"/>
    <w:rsid w:val="00352939"/>
    <w:rsid w:val="00362A0B"/>
    <w:rsid w:val="00373441"/>
    <w:rsid w:val="00386B83"/>
    <w:rsid w:val="00387BE1"/>
    <w:rsid w:val="00396DC6"/>
    <w:rsid w:val="003B7CAD"/>
    <w:rsid w:val="003C2D87"/>
    <w:rsid w:val="003D1B1F"/>
    <w:rsid w:val="003D2662"/>
    <w:rsid w:val="003E7101"/>
    <w:rsid w:val="00430DBC"/>
    <w:rsid w:val="004509B9"/>
    <w:rsid w:val="004513F4"/>
    <w:rsid w:val="00467369"/>
    <w:rsid w:val="004A400F"/>
    <w:rsid w:val="004C4048"/>
    <w:rsid w:val="004D3CED"/>
    <w:rsid w:val="004D4606"/>
    <w:rsid w:val="004D531A"/>
    <w:rsid w:val="005140DB"/>
    <w:rsid w:val="005304EA"/>
    <w:rsid w:val="00575EC5"/>
    <w:rsid w:val="00590B68"/>
    <w:rsid w:val="00596FC9"/>
    <w:rsid w:val="005B1F0F"/>
    <w:rsid w:val="005D19F4"/>
    <w:rsid w:val="005E292F"/>
    <w:rsid w:val="005E3835"/>
    <w:rsid w:val="00645249"/>
    <w:rsid w:val="00655284"/>
    <w:rsid w:val="006D2A23"/>
    <w:rsid w:val="006F43FA"/>
    <w:rsid w:val="00701A87"/>
    <w:rsid w:val="0071696F"/>
    <w:rsid w:val="00721481"/>
    <w:rsid w:val="00724E75"/>
    <w:rsid w:val="0072707E"/>
    <w:rsid w:val="00732610"/>
    <w:rsid w:val="00746EA6"/>
    <w:rsid w:val="007514DD"/>
    <w:rsid w:val="007523A9"/>
    <w:rsid w:val="00776304"/>
    <w:rsid w:val="00785FAC"/>
    <w:rsid w:val="00797002"/>
    <w:rsid w:val="007C5861"/>
    <w:rsid w:val="007D7991"/>
    <w:rsid w:val="00815BEB"/>
    <w:rsid w:val="008274B2"/>
    <w:rsid w:val="00832D03"/>
    <w:rsid w:val="00833C0C"/>
    <w:rsid w:val="00836A70"/>
    <w:rsid w:val="00846E94"/>
    <w:rsid w:val="00847A85"/>
    <w:rsid w:val="008A369C"/>
    <w:rsid w:val="008B3472"/>
    <w:rsid w:val="008B3C59"/>
    <w:rsid w:val="008C568E"/>
    <w:rsid w:val="008D6EAE"/>
    <w:rsid w:val="008F2D88"/>
    <w:rsid w:val="008F5F70"/>
    <w:rsid w:val="008F7824"/>
    <w:rsid w:val="009375EC"/>
    <w:rsid w:val="00940A92"/>
    <w:rsid w:val="00947B5B"/>
    <w:rsid w:val="00983293"/>
    <w:rsid w:val="009A17E1"/>
    <w:rsid w:val="009A7CC6"/>
    <w:rsid w:val="009A7F82"/>
    <w:rsid w:val="009D2702"/>
    <w:rsid w:val="009E0AC4"/>
    <w:rsid w:val="009E28BA"/>
    <w:rsid w:val="009F45E3"/>
    <w:rsid w:val="00A0787E"/>
    <w:rsid w:val="00A07CDF"/>
    <w:rsid w:val="00A24FF4"/>
    <w:rsid w:val="00A37AE2"/>
    <w:rsid w:val="00A50DBB"/>
    <w:rsid w:val="00A621FB"/>
    <w:rsid w:val="00A629CB"/>
    <w:rsid w:val="00A63D75"/>
    <w:rsid w:val="00A663B6"/>
    <w:rsid w:val="00A75DF6"/>
    <w:rsid w:val="00A82977"/>
    <w:rsid w:val="00A94369"/>
    <w:rsid w:val="00AD3096"/>
    <w:rsid w:val="00AD3C1E"/>
    <w:rsid w:val="00B04A5A"/>
    <w:rsid w:val="00B13185"/>
    <w:rsid w:val="00B34540"/>
    <w:rsid w:val="00B35377"/>
    <w:rsid w:val="00B438F8"/>
    <w:rsid w:val="00B43C87"/>
    <w:rsid w:val="00B741C9"/>
    <w:rsid w:val="00B75DD8"/>
    <w:rsid w:val="00B8465B"/>
    <w:rsid w:val="00B911DB"/>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279F"/>
    <w:rsid w:val="00D7024F"/>
    <w:rsid w:val="00D75312"/>
    <w:rsid w:val="00D8786F"/>
    <w:rsid w:val="00DA7011"/>
    <w:rsid w:val="00DB3041"/>
    <w:rsid w:val="00DC5605"/>
    <w:rsid w:val="00DE1140"/>
    <w:rsid w:val="00DE33E3"/>
    <w:rsid w:val="00DF1340"/>
    <w:rsid w:val="00E01784"/>
    <w:rsid w:val="00E30EB6"/>
    <w:rsid w:val="00E424BC"/>
    <w:rsid w:val="00E529D5"/>
    <w:rsid w:val="00EA5BC9"/>
    <w:rsid w:val="00EB2F4D"/>
    <w:rsid w:val="00EB4266"/>
    <w:rsid w:val="00EB4406"/>
    <w:rsid w:val="00EC4481"/>
    <w:rsid w:val="00EC619E"/>
    <w:rsid w:val="00ED4491"/>
    <w:rsid w:val="00ED4915"/>
    <w:rsid w:val="00EE499D"/>
    <w:rsid w:val="00EF417E"/>
    <w:rsid w:val="00F03408"/>
    <w:rsid w:val="00F1052D"/>
    <w:rsid w:val="00F33398"/>
    <w:rsid w:val="00F46812"/>
    <w:rsid w:val="00F479E2"/>
    <w:rsid w:val="00F5684D"/>
    <w:rsid w:val="00F7129E"/>
    <w:rsid w:val="00F71A84"/>
    <w:rsid w:val="00F73EB1"/>
    <w:rsid w:val="00F874DC"/>
    <w:rsid w:val="00F90D4E"/>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8</Pages>
  <Words>2302</Words>
  <Characters>363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システム部　久保　博史</cp:lastModifiedBy>
  <cp:revision>23</cp:revision>
  <cp:lastPrinted>2016-11-07T02:39:00Z</cp:lastPrinted>
  <dcterms:created xsi:type="dcterms:W3CDTF">2016-10-13T08:45:00Z</dcterms:created>
  <dcterms:modified xsi:type="dcterms:W3CDTF">2016-11-08T06:28:00Z</dcterms:modified>
</cp:coreProperties>
</file>